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8D9069" w14:textId="77777777" w:rsidR="000D4C39" w:rsidRPr="00F513E8" w:rsidRDefault="008B0211" w:rsidP="00B97382">
      <w:pPr>
        <w:pStyle w:val="KeinLeerraum"/>
        <w:rPr>
          <w:rFonts w:ascii="IBM Plex Sans" w:hAnsi="IBM Plex Sans"/>
          <w:sz w:val="24"/>
          <w:szCs w:val="24"/>
        </w:rPr>
      </w:pPr>
      <w:r>
        <w:rPr>
          <w:rFonts w:ascii="IBM Plex Sans" w:hAnsi="IBM Plex Sans"/>
          <w:sz w:val="24"/>
          <w:szCs w:val="24"/>
        </w:rPr>
        <w:t>PRESSEINFORMATION</w:t>
      </w:r>
    </w:p>
    <w:p w14:paraId="11E9EA68" w14:textId="77777777" w:rsidR="00A71395" w:rsidRPr="00F513E8" w:rsidRDefault="00A71395" w:rsidP="00A446F2">
      <w:pPr>
        <w:pStyle w:val="KeinLeerraum"/>
        <w:spacing w:before="0" w:beforeAutospacing="0"/>
        <w:rPr>
          <w:rFonts w:ascii="IBM Plex Sans" w:hAnsi="IBM Plex Sans"/>
          <w:sz w:val="22"/>
          <w:szCs w:val="22"/>
        </w:rPr>
      </w:pPr>
    </w:p>
    <w:p w14:paraId="55D25E96" w14:textId="54374955" w:rsidR="00F763C6" w:rsidRPr="006B639A" w:rsidRDefault="00B97382" w:rsidP="006B639A">
      <w:pPr>
        <w:tabs>
          <w:tab w:val="left" w:pos="6096"/>
        </w:tabs>
        <w:rPr>
          <w:rFonts w:ascii="IBM Plex Sans" w:hAnsi="IBM Plex Sans"/>
        </w:rPr>
      </w:pPr>
      <w:r w:rsidRPr="00F513E8">
        <w:rPr>
          <w:rFonts w:ascii="IBM Plex Sans" w:hAnsi="IBM Plex Sans"/>
        </w:rPr>
        <w:tab/>
      </w:r>
      <w:r w:rsidR="000D4C39" w:rsidRPr="00F513E8">
        <w:rPr>
          <w:rFonts w:ascii="IBM Plex Sans" w:hAnsi="IBM Plex Sans"/>
        </w:rPr>
        <w:t xml:space="preserve">Saarbrücken, den </w:t>
      </w:r>
      <w:r w:rsidR="0022661E">
        <w:rPr>
          <w:rFonts w:ascii="IBM Plex Sans" w:hAnsi="IBM Plex Sans"/>
        </w:rPr>
        <w:t>09.12.2025</w:t>
      </w:r>
      <w:r w:rsidR="00075486" w:rsidRPr="00F513E8">
        <w:rPr>
          <w:rFonts w:ascii="IBM Plex Sans" w:hAnsi="IBM Plex Sans"/>
        </w:rPr>
        <w:t xml:space="preserve"> </w:t>
      </w:r>
    </w:p>
    <w:p w14:paraId="02839349" w14:textId="77777777" w:rsidR="008A33D9" w:rsidRDefault="008A33D9" w:rsidP="00061C12">
      <w:pPr>
        <w:spacing w:after="0" w:line="276" w:lineRule="auto"/>
        <w:rPr>
          <w:rFonts w:ascii="IBM Plex Sans" w:eastAsia="Calibri" w:hAnsi="IBM Plex Sans" w:cs="Times New Roman"/>
          <w:b/>
        </w:rPr>
      </w:pPr>
    </w:p>
    <w:p w14:paraId="0CB6157D" w14:textId="77777777" w:rsidR="00673A59" w:rsidRDefault="00673A59" w:rsidP="00442352">
      <w:pPr>
        <w:spacing w:after="0" w:line="276" w:lineRule="auto"/>
        <w:rPr>
          <w:rFonts w:ascii="IBM Plex Sans" w:hAnsi="IBM Plex Sans"/>
          <w:b/>
        </w:rPr>
      </w:pPr>
    </w:p>
    <w:p w14:paraId="138D241A" w14:textId="7D30BFF2" w:rsidR="002C4906" w:rsidRPr="002C4906" w:rsidRDefault="002C4906" w:rsidP="002C4906">
      <w:pPr>
        <w:spacing w:after="0" w:line="276" w:lineRule="auto"/>
        <w:rPr>
          <w:rFonts w:ascii="IBM Plex Sans" w:hAnsi="IBM Plex Sans"/>
          <w:b/>
        </w:rPr>
      </w:pPr>
      <w:r w:rsidRPr="002C4906">
        <w:rPr>
          <w:rFonts w:ascii="IBM Plex Sans" w:hAnsi="IBM Plex Sans"/>
          <w:b/>
        </w:rPr>
        <w:t>Historisches Museum Saar startet Neugestaltung: Burganla</w:t>
      </w:r>
      <w:r>
        <w:rPr>
          <w:rFonts w:ascii="IBM Plex Sans" w:hAnsi="IBM Plex Sans"/>
          <w:b/>
        </w:rPr>
        <w:t>ge und Roter Turm schließen vorübergehend</w:t>
      </w:r>
    </w:p>
    <w:p w14:paraId="28AEC32D" w14:textId="77777777" w:rsidR="002C4906" w:rsidRPr="002C4906" w:rsidRDefault="002C4906" w:rsidP="002C4906">
      <w:pPr>
        <w:spacing w:after="0" w:line="276" w:lineRule="auto"/>
        <w:rPr>
          <w:rFonts w:ascii="IBM Plex Sans" w:hAnsi="IBM Plex Sans"/>
          <w:b/>
        </w:rPr>
      </w:pPr>
    </w:p>
    <w:p w14:paraId="410924F6" w14:textId="77777777" w:rsidR="00991F1D" w:rsidRPr="00991F1D" w:rsidRDefault="00991F1D" w:rsidP="00991F1D">
      <w:pPr>
        <w:spacing w:after="0" w:line="276" w:lineRule="auto"/>
        <w:rPr>
          <w:rFonts w:ascii="IBM Plex Sans" w:hAnsi="IBM Plex Sans"/>
        </w:rPr>
      </w:pPr>
      <w:r w:rsidRPr="00991F1D">
        <w:rPr>
          <w:rFonts w:ascii="IBM Plex Sans" w:hAnsi="IBM Plex Sans"/>
        </w:rPr>
        <w:t>Das Historische Museum Saar beginnt im neuen Jahr mit umfangreichen Modernisierungs- und Umbaumaßnahmen: Von Januar bis Mai 2026 werden die Burganlage und der Rote Turm geschlossen, um den Auftakt einer mehrjährigen Neugestaltungsphase einzuleiten. Ziel ist es, zentrale Bereiche des Museums interaktiv und digital aufzubereiten und den Besuchenden neue Einblicke in die Geschichte der Region zu ermöglichen. Bis 2028 soll anschließend auch der Bereich der Saargeschichte vollständig neugestaltet werden.</w:t>
      </w:r>
    </w:p>
    <w:p w14:paraId="16DBC763" w14:textId="77777777" w:rsidR="00991F1D" w:rsidRPr="00991F1D" w:rsidRDefault="00991F1D" w:rsidP="00991F1D">
      <w:pPr>
        <w:spacing w:after="0" w:line="276" w:lineRule="auto"/>
        <w:rPr>
          <w:rFonts w:ascii="IBM Plex Sans" w:hAnsi="IBM Plex Sans"/>
        </w:rPr>
      </w:pPr>
    </w:p>
    <w:p w14:paraId="087CE886" w14:textId="77777777" w:rsidR="00991F1D" w:rsidRPr="00991F1D" w:rsidRDefault="00991F1D" w:rsidP="00991F1D">
      <w:pPr>
        <w:spacing w:after="0" w:line="276" w:lineRule="auto"/>
        <w:rPr>
          <w:rFonts w:ascii="IBM Plex Sans" w:hAnsi="IBM Plex Sans"/>
        </w:rPr>
      </w:pPr>
      <w:r w:rsidRPr="00991F1D">
        <w:rPr>
          <w:rFonts w:ascii="IBM Plex Sans" w:hAnsi="IBM Plex Sans"/>
        </w:rPr>
        <w:t>„Die Neukonzeption ist ein bedeutender Schritt für das Historische Museum Saar. Die Umgestaltung der Unterirdischen Burg gibt uns die Gelegenheit, die außergewöhnliche historische Substanz des Ortes noch sichtbarer zu machen und gleichzeitig moderne Wege zu finden, Geschichte erlebbar zu erzählen – für ein Besuchererlebnis, das sowohl fundiert als auch spannend ist“, erklärt Dr. Peter Henkel, Direktor des Historischen Museums Saar.</w:t>
      </w:r>
    </w:p>
    <w:p w14:paraId="3AF12210" w14:textId="77777777" w:rsidR="00991F1D" w:rsidRPr="00991F1D" w:rsidRDefault="00991F1D" w:rsidP="00991F1D">
      <w:pPr>
        <w:spacing w:after="0" w:line="276" w:lineRule="auto"/>
        <w:rPr>
          <w:rFonts w:ascii="IBM Plex Sans" w:hAnsi="IBM Plex Sans"/>
        </w:rPr>
      </w:pPr>
    </w:p>
    <w:p w14:paraId="4FB4A14B" w14:textId="77777777" w:rsidR="00991F1D" w:rsidRPr="00991F1D" w:rsidRDefault="00991F1D" w:rsidP="00991F1D">
      <w:pPr>
        <w:spacing w:after="0" w:line="276" w:lineRule="auto"/>
        <w:rPr>
          <w:rFonts w:ascii="IBM Plex Sans" w:hAnsi="IBM Plex Sans"/>
        </w:rPr>
      </w:pPr>
      <w:r w:rsidRPr="00991F1D">
        <w:rPr>
          <w:rFonts w:ascii="IBM Plex Sans" w:hAnsi="IBM Plex Sans"/>
        </w:rPr>
        <w:t>Der Rundgang zur Unterirdischen Burg beginnt künftig mit einer Rekonstruktion des Renaissanceschlosses, die auf aktuellsten Forschungsergebnissen beruht. Ein weiterer Schwerpunkt widmet sich der territorialen Entwicklung der Grafschaft Saarbrücken: Da historisches Kartenmaterial nur begrenzt verfügbar ist, hat das Museumsteam gemeinsam mit Kartografie-Experte Peter Palm eine interaktive Kartenanimation entwickelt. Ergänzt durch archäologische Funde vom Schlossfelsen entsteht so ein präziser und anschaulicher Überblick über die politische und räumliche Entwicklung der Region.</w:t>
      </w:r>
    </w:p>
    <w:p w14:paraId="5F9CA026" w14:textId="77777777" w:rsidR="00991F1D" w:rsidRPr="00991F1D" w:rsidRDefault="00991F1D" w:rsidP="00991F1D">
      <w:pPr>
        <w:spacing w:after="0" w:line="276" w:lineRule="auto"/>
        <w:rPr>
          <w:rFonts w:ascii="IBM Plex Sans" w:hAnsi="IBM Plex Sans"/>
        </w:rPr>
      </w:pPr>
    </w:p>
    <w:p w14:paraId="23554950" w14:textId="51C1E7A8" w:rsidR="00991F1D" w:rsidRDefault="00991F1D" w:rsidP="00991F1D">
      <w:pPr>
        <w:spacing w:after="0" w:line="276" w:lineRule="auto"/>
        <w:rPr>
          <w:rFonts w:ascii="IBM Plex Sans" w:hAnsi="IBM Plex Sans"/>
        </w:rPr>
      </w:pPr>
      <w:r w:rsidRPr="00991F1D">
        <w:rPr>
          <w:rFonts w:ascii="IBM Plex Sans" w:hAnsi="IBM Plex Sans"/>
        </w:rPr>
        <w:t xml:space="preserve">In der Unterirdischen Burg selbst erleben die Besucherinnen und Besucher die bauliche Entwicklung der Anlage. Interaktive mediale Inszenierungen helfen, die 14 Meter unter der Erde liegenden Räume zu verstehen. Auf der erweiterten Galerie laden weitere Vermittlungsangebote dazu ein, Bauteile und Ausbauphasen der Burg selbst zu erkunden. Projektionen auf dem Buntsandstein machen historische Strukturen sichtbar und ordnen sie in ihren historischen Kontext ein. Gemeinsam </w:t>
      </w:r>
      <w:r>
        <w:rPr>
          <w:rFonts w:ascii="IBM Plex Sans" w:hAnsi="IBM Plex Sans"/>
        </w:rPr>
        <w:t xml:space="preserve">mit der Firma Archimedix und </w:t>
      </w:r>
      <w:r w:rsidR="00C344DD">
        <w:rPr>
          <w:rFonts w:ascii="IBM Plex Sans" w:hAnsi="IBM Plex Sans"/>
        </w:rPr>
        <w:t xml:space="preserve">externen </w:t>
      </w:r>
      <w:r w:rsidR="00396D8D">
        <w:rPr>
          <w:rFonts w:ascii="IBM Plex Sans" w:hAnsi="IBM Plex Sans"/>
        </w:rPr>
        <w:t xml:space="preserve">Experten sowie dem </w:t>
      </w:r>
      <w:r w:rsidR="00C344DD">
        <w:rPr>
          <w:rFonts w:ascii="IBM Plex Sans" w:hAnsi="IBM Plex Sans"/>
        </w:rPr>
        <w:t>Gestalterteam</w:t>
      </w:r>
      <w:r>
        <w:rPr>
          <w:rFonts w:ascii="IBM Plex Sans" w:hAnsi="IBM Plex Sans"/>
        </w:rPr>
        <w:t xml:space="preserve"> </w:t>
      </w:r>
      <w:r w:rsidRPr="0027162D">
        <w:rPr>
          <w:rFonts w:ascii="IBM Plex Sans" w:hAnsi="IBM Plex Sans"/>
        </w:rPr>
        <w:t>ARGE PRJKTR</w:t>
      </w:r>
      <w:r>
        <w:rPr>
          <w:rFonts w:ascii="IBM Plex Sans" w:hAnsi="IBM Plex Sans"/>
        </w:rPr>
        <w:t>.</w:t>
      </w:r>
      <w:r w:rsidR="00E449CC">
        <w:rPr>
          <w:rFonts w:ascii="IBM Plex Sans" w:hAnsi="IBM Plex Sans"/>
        </w:rPr>
        <w:t>/</w:t>
      </w:r>
      <w:r w:rsidRPr="0027162D">
        <w:rPr>
          <w:rFonts w:ascii="IBM Plex Sans" w:hAnsi="IBM Plex Sans"/>
        </w:rPr>
        <w:t>Tatwerk</w:t>
      </w:r>
      <w:r w:rsidRPr="00991F1D">
        <w:rPr>
          <w:rFonts w:ascii="IBM Plex Sans" w:hAnsi="IBM Plex Sans"/>
        </w:rPr>
        <w:t xml:space="preserve"> </w:t>
      </w:r>
      <w:r w:rsidR="0020432A">
        <w:rPr>
          <w:rFonts w:ascii="IBM Plex Sans" w:hAnsi="IBM Plex Sans"/>
        </w:rPr>
        <w:t>entsteht</w:t>
      </w:r>
      <w:r w:rsidRPr="00991F1D">
        <w:rPr>
          <w:rFonts w:ascii="IBM Plex Sans" w:hAnsi="IBM Plex Sans"/>
        </w:rPr>
        <w:t xml:space="preserve"> zudem ein weiteres Highlight: </w:t>
      </w:r>
      <w:r w:rsidR="00C344DD" w:rsidRPr="00C344DD">
        <w:rPr>
          <w:rFonts w:ascii="IBM Plex Sans" w:hAnsi="IBM Plex Sans"/>
        </w:rPr>
        <w:t>Ein Film, der auf die historische Bausubstanz projiziert wird, rekonstruiert die Entwicklung des Saarbrücker Schlossfelsens vom ersten mittelalterlichen Burgturm um das Jahr 1000 bis zum heutigen Bürgerschloss.</w:t>
      </w:r>
    </w:p>
    <w:p w14:paraId="37703840" w14:textId="77777777" w:rsidR="00437E24" w:rsidRDefault="00437E24" w:rsidP="004A0FB3">
      <w:pPr>
        <w:spacing w:after="0" w:line="276" w:lineRule="auto"/>
        <w:rPr>
          <w:rFonts w:ascii="IBM Plex Sans" w:hAnsi="IBM Plex Sans"/>
        </w:rPr>
      </w:pPr>
      <w:r w:rsidRPr="00437E24">
        <w:rPr>
          <w:rFonts w:ascii="IBM Plex Sans" w:hAnsi="IBM Plex Sans"/>
        </w:rPr>
        <w:lastRenderedPageBreak/>
        <w:t>Im Ballenhaus wartet ein interaktives Erlebnis auf die Gäste: Auf einem der ältesten erhaltenen Jeu de Paume-Felder Europas aus dem 17. Jahrhundert können sie mit virtuellen Figuren interagieren und auf spielerische Weise die Regeln dieses historischen Ballsports kennenlernen.</w:t>
      </w:r>
    </w:p>
    <w:p w14:paraId="6FB925CB" w14:textId="77777777" w:rsidR="00437E24" w:rsidRDefault="00437E24" w:rsidP="004A0FB3">
      <w:pPr>
        <w:spacing w:after="0" w:line="276" w:lineRule="auto"/>
        <w:rPr>
          <w:rFonts w:ascii="IBM Plex Sans" w:hAnsi="IBM Plex Sans"/>
        </w:rPr>
      </w:pPr>
    </w:p>
    <w:p w14:paraId="2A454B78" w14:textId="120BD227" w:rsidR="00C276D7" w:rsidRDefault="009351E2" w:rsidP="004A0FB3">
      <w:pPr>
        <w:spacing w:after="0" w:line="276" w:lineRule="auto"/>
        <w:rPr>
          <w:rFonts w:ascii="IBM Plex Sans" w:hAnsi="IBM Plex Sans"/>
        </w:rPr>
      </w:pPr>
      <w:r w:rsidRPr="009351E2">
        <w:rPr>
          <w:rFonts w:ascii="IBM Plex Sans" w:hAnsi="IBM Plex Sans"/>
        </w:rPr>
        <w:t>Der neu konzipierte Rote Turm richtet sich insbesondere an ein jüngeres Publikum. Vielfältige Hands-on-Elemente ermöglichen einen spielerischen Zugang zu zentralen Themen mittelalterlicher Lebenswelt – darunter Bauweisen, Ernährung, Kl</w:t>
      </w:r>
      <w:r>
        <w:rPr>
          <w:rFonts w:ascii="IBM Plex Sans" w:hAnsi="IBM Plex Sans"/>
        </w:rPr>
        <w:t>eidung sowie soziale Strukturen</w:t>
      </w:r>
      <w:r w:rsidR="00437E24" w:rsidRPr="00437E24">
        <w:rPr>
          <w:rFonts w:ascii="IBM Plex Sans" w:hAnsi="IBM Plex Sans"/>
        </w:rPr>
        <w:t>.</w:t>
      </w:r>
    </w:p>
    <w:p w14:paraId="5F9BE0A2" w14:textId="77777777" w:rsidR="00437E24" w:rsidRDefault="00437E24" w:rsidP="004A0FB3">
      <w:pPr>
        <w:spacing w:after="0" w:line="276" w:lineRule="auto"/>
        <w:rPr>
          <w:rFonts w:ascii="IBM Plex Sans" w:hAnsi="IBM Plex Sans"/>
        </w:rPr>
      </w:pPr>
    </w:p>
    <w:p w14:paraId="4BA3F961" w14:textId="2CEBC233" w:rsidR="005B470E" w:rsidRDefault="0027162D" w:rsidP="00E717CD">
      <w:pPr>
        <w:spacing w:after="0" w:line="276" w:lineRule="auto"/>
        <w:rPr>
          <w:rFonts w:ascii="IBM Plex Sans" w:hAnsi="IBM Plex Sans"/>
        </w:rPr>
      </w:pPr>
      <w:r w:rsidRPr="0027162D">
        <w:rPr>
          <w:rFonts w:ascii="IBM Plex Sans" w:hAnsi="IBM Plex Sans"/>
        </w:rPr>
        <w:t>Die Neugestaltung entsteht in Zusammenarbeit mit dem externen Gestalterteam ARGE PRJKTR und Tatwerk. Gefördert wird das Projekt durch den Beauftragten der Bundesregierung für Kultur und Medien, den Regionalverband Saarbrücken sowie das Ministerium für Bildung und Kultur des Saarlandes.</w:t>
      </w:r>
    </w:p>
    <w:p w14:paraId="39BF48D6" w14:textId="77777777" w:rsidR="00F554FC" w:rsidRDefault="00F554FC" w:rsidP="00E717CD">
      <w:pPr>
        <w:spacing w:after="0" w:line="276" w:lineRule="auto"/>
        <w:rPr>
          <w:rFonts w:ascii="IBM Plex Sans" w:hAnsi="IBM Plex Sans"/>
        </w:rPr>
      </w:pPr>
    </w:p>
    <w:p w14:paraId="6C800EDE" w14:textId="06869A9B" w:rsidR="00F554FC" w:rsidRDefault="00F554FC" w:rsidP="00E717CD">
      <w:pPr>
        <w:spacing w:after="0" w:line="276" w:lineRule="auto"/>
        <w:rPr>
          <w:rFonts w:ascii="IBM Plex Sans" w:hAnsi="IBM Plex Sans"/>
        </w:rPr>
      </w:pPr>
    </w:p>
    <w:p w14:paraId="044BC216" w14:textId="74E5EC4B" w:rsidR="00F554FC" w:rsidRDefault="00946F23" w:rsidP="00E717CD">
      <w:pPr>
        <w:spacing w:after="0" w:line="276" w:lineRule="auto"/>
        <w:rPr>
          <w:rFonts w:ascii="IBM Plex Sans" w:hAnsi="IBM Plex Sans"/>
        </w:rPr>
      </w:pPr>
      <w:r>
        <w:rPr>
          <w:rFonts w:ascii="IBM Plex Sans" w:hAnsi="IBM Plex Sans"/>
          <w:noProof/>
          <w:lang w:eastAsia="de-DE"/>
        </w:rPr>
        <w:drawing>
          <wp:anchor distT="0" distB="0" distL="114300" distR="114300" simplePos="0" relativeHeight="251658240" behindDoc="0" locked="0" layoutInCell="1" allowOverlap="1" wp14:anchorId="186E1233" wp14:editId="24110224">
            <wp:simplePos x="0" y="0"/>
            <wp:positionH relativeFrom="margin">
              <wp:align>right</wp:align>
            </wp:positionH>
            <wp:positionV relativeFrom="paragraph">
              <wp:posOffset>176200</wp:posOffset>
            </wp:positionV>
            <wp:extent cx="5925820" cy="1054735"/>
            <wp:effectExtent l="0" t="0" r="0" b="0"/>
            <wp:wrapThrough wrapText="bothSides">
              <wp:wrapPolygon edited="0">
                <wp:start x="16665" y="0"/>
                <wp:lineTo x="0" y="0"/>
                <wp:lineTo x="0" y="21067"/>
                <wp:lineTo x="8819" y="21067"/>
                <wp:lineTo x="21526" y="19896"/>
                <wp:lineTo x="21526" y="0"/>
                <wp:lineTo x="16665" y="0"/>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25820" cy="1054735"/>
                    </a:xfrm>
                    <a:prstGeom prst="rect">
                      <a:avLst/>
                    </a:prstGeom>
                    <a:noFill/>
                  </pic:spPr>
                </pic:pic>
              </a:graphicData>
            </a:graphic>
          </wp:anchor>
        </w:drawing>
      </w:r>
    </w:p>
    <w:p w14:paraId="1401D799" w14:textId="77777777" w:rsidR="00F554FC" w:rsidRDefault="00F554FC" w:rsidP="00E717CD">
      <w:pPr>
        <w:spacing w:after="0" w:line="276" w:lineRule="auto"/>
        <w:rPr>
          <w:rFonts w:ascii="IBM Plex Sans" w:hAnsi="IBM Plex Sans"/>
        </w:rPr>
      </w:pPr>
    </w:p>
    <w:p w14:paraId="3E71B653" w14:textId="77777777" w:rsidR="00F554FC" w:rsidRDefault="00F554FC" w:rsidP="00E717CD">
      <w:pPr>
        <w:spacing w:after="0" w:line="276" w:lineRule="auto"/>
        <w:rPr>
          <w:rFonts w:ascii="IBM Plex Sans" w:hAnsi="IBM Plex Sans"/>
        </w:rPr>
      </w:pPr>
    </w:p>
    <w:p w14:paraId="684DE1E9" w14:textId="7D967770" w:rsidR="00F554FC" w:rsidRPr="00F554FC" w:rsidRDefault="00F554FC" w:rsidP="00F554FC">
      <w:r>
        <w:rPr>
          <w:rFonts w:ascii="IBM Plex Sans" w:hAnsi="IBM Plex Sans"/>
        </w:rPr>
        <w:t>Fotos können auf der Seite des Historischen Museums Saar heruntergeladen und unter Angabe des Copyrights (</w:t>
      </w:r>
      <w:r>
        <w:t>©</w:t>
      </w:r>
      <w:r>
        <w:rPr>
          <w:rFonts w:ascii="IBM Plex Sans" w:hAnsi="IBM Plex Sans"/>
        </w:rPr>
        <w:t xml:space="preserve">Hismus/Oliver Dietze) genutzt werden:  </w:t>
      </w:r>
    </w:p>
    <w:p w14:paraId="043059FF" w14:textId="0EE0A06F" w:rsidR="00F554FC" w:rsidRPr="005C3747" w:rsidRDefault="005C3747" w:rsidP="00F554FC">
      <w:pPr>
        <w:spacing w:after="0" w:line="276" w:lineRule="auto"/>
        <w:rPr>
          <w:rFonts w:ascii="Segoe UI" w:hAnsi="Segoe UI" w:cs="Segoe UI"/>
          <w:color w:val="0000FF"/>
          <w:u w:val="single"/>
        </w:rPr>
      </w:pPr>
      <w:hyperlink r:id="rId8" w:history="1">
        <w:r w:rsidR="00F554FC" w:rsidRPr="005C3747">
          <w:rPr>
            <w:rFonts w:ascii="Segoe UI" w:hAnsi="Segoe UI" w:cs="Segoe UI"/>
            <w:color w:val="0000FF"/>
            <w:u w:val="single"/>
          </w:rPr>
          <w:t>https://www.historis</w:t>
        </w:r>
        <w:bookmarkStart w:id="0" w:name="_GoBack"/>
        <w:bookmarkEnd w:id="0"/>
        <w:r w:rsidR="00F554FC" w:rsidRPr="005C3747">
          <w:rPr>
            <w:rFonts w:ascii="Segoe UI" w:hAnsi="Segoe UI" w:cs="Segoe UI"/>
            <w:color w:val="0000FF"/>
            <w:u w:val="single"/>
          </w:rPr>
          <w:t>ches-museum.org/die-neue-dauerausstellung/pressekonferenz</w:t>
        </w:r>
      </w:hyperlink>
    </w:p>
    <w:p w14:paraId="5A776E4E" w14:textId="32CF9814" w:rsidR="00F554FC" w:rsidRDefault="00F554FC" w:rsidP="00F554FC">
      <w:pPr>
        <w:spacing w:after="0" w:line="276" w:lineRule="auto"/>
        <w:rPr>
          <w:rFonts w:ascii="Segoe UI" w:hAnsi="Segoe UI" w:cs="Segoe UI"/>
          <w:color w:val="0000FF"/>
          <w:sz w:val="20"/>
          <w:szCs w:val="20"/>
          <w:u w:val="single"/>
        </w:rPr>
      </w:pPr>
    </w:p>
    <w:p w14:paraId="7F00323A" w14:textId="05F22CA8" w:rsidR="00F554FC" w:rsidRDefault="00F554FC" w:rsidP="00F554FC">
      <w:pPr>
        <w:spacing w:after="0" w:line="276" w:lineRule="auto"/>
        <w:rPr>
          <w:rFonts w:ascii="IBM Plex Sans" w:hAnsi="IBM Plex Sans"/>
        </w:rPr>
      </w:pPr>
      <w:r w:rsidRPr="00F554FC">
        <w:rPr>
          <w:rFonts w:ascii="IBM Plex Sans" w:hAnsi="IBM Plex Sans"/>
        </w:rPr>
        <w:t>Auf de</w:t>
      </w:r>
      <w:r>
        <w:rPr>
          <w:rFonts w:ascii="IBM Plex Sans" w:hAnsi="IBM Plex Sans"/>
        </w:rPr>
        <w:t>n Fotos abgebildet: Dr. Peter Henkel (Direktor), Jessica Siebeneich (stellv. Direktorin und Kuratorin), S</w:t>
      </w:r>
      <w:r w:rsidR="00396D8D">
        <w:rPr>
          <w:rFonts w:ascii="IBM Plex Sans" w:hAnsi="IBM Plex Sans"/>
        </w:rPr>
        <w:t>usanne Zils (Projektkoordinatorin</w:t>
      </w:r>
      <w:r>
        <w:rPr>
          <w:rFonts w:ascii="IBM Plex Sans" w:hAnsi="IBM Plex Sans"/>
        </w:rPr>
        <w:t>), Laur</w:t>
      </w:r>
      <w:r w:rsidR="00396D8D">
        <w:rPr>
          <w:rFonts w:ascii="IBM Plex Sans" w:hAnsi="IBM Plex Sans"/>
        </w:rPr>
        <w:t>a Throckmorton (Museumspädagogin</w:t>
      </w:r>
      <w:r>
        <w:rPr>
          <w:rFonts w:ascii="IBM Plex Sans" w:hAnsi="IBM Plex Sans"/>
        </w:rPr>
        <w:t>), Lena Bleeke (Volontärin)</w:t>
      </w:r>
    </w:p>
    <w:p w14:paraId="7A6664F7" w14:textId="453C4E1F" w:rsidR="00F554FC" w:rsidRDefault="00F554FC" w:rsidP="00F554FC">
      <w:pPr>
        <w:spacing w:after="0" w:line="276" w:lineRule="auto"/>
        <w:rPr>
          <w:rFonts w:ascii="IBM Plex Sans" w:hAnsi="IBM Plex Sans"/>
        </w:rPr>
      </w:pPr>
    </w:p>
    <w:p w14:paraId="358DC584" w14:textId="1E613209" w:rsidR="00F554FC" w:rsidRDefault="00F554FC" w:rsidP="00F554FC">
      <w:pPr>
        <w:spacing w:after="0" w:line="276" w:lineRule="auto"/>
        <w:rPr>
          <w:rFonts w:ascii="IBM Plex Sans" w:hAnsi="IBM Plex Sans"/>
        </w:rPr>
      </w:pPr>
      <w:r>
        <w:rPr>
          <w:rFonts w:ascii="IBM Plex Sans" w:hAnsi="IBM Plex Sans"/>
        </w:rPr>
        <w:t xml:space="preserve">Foto 1: Ortsbegehung </w:t>
      </w:r>
      <w:r w:rsidR="00C31762">
        <w:rPr>
          <w:rFonts w:ascii="IBM Plex Sans" w:hAnsi="IBM Plex Sans"/>
        </w:rPr>
        <w:t xml:space="preserve">der </w:t>
      </w:r>
      <w:r>
        <w:rPr>
          <w:rFonts w:ascii="IBM Plex Sans" w:hAnsi="IBM Plex Sans"/>
        </w:rPr>
        <w:t>Burganlage mit Lena Bleeke, Jessica Siebeneich, Peter Henkel</w:t>
      </w:r>
    </w:p>
    <w:p w14:paraId="114ADFC8" w14:textId="7629CB1C" w:rsidR="00F554FC" w:rsidRDefault="00F554FC" w:rsidP="00270F57">
      <w:pPr>
        <w:spacing w:after="0" w:line="276" w:lineRule="auto"/>
        <w:rPr>
          <w:rFonts w:ascii="IBM Plex Sans" w:hAnsi="IBM Plex Sans"/>
        </w:rPr>
      </w:pPr>
      <w:r>
        <w:rPr>
          <w:rFonts w:ascii="IBM Plex Sans" w:hAnsi="IBM Plex Sans"/>
        </w:rPr>
        <w:t xml:space="preserve">Foto 2: </w:t>
      </w:r>
      <w:r w:rsidR="009459A7">
        <w:rPr>
          <w:rFonts w:ascii="IBM Plex Sans" w:hAnsi="IBM Plex Sans"/>
        </w:rPr>
        <w:t xml:space="preserve">Das Museums-Team in der Burganlage mit </w:t>
      </w:r>
      <w:r w:rsidR="00270F57">
        <w:rPr>
          <w:rFonts w:ascii="IBM Plex Sans" w:hAnsi="IBM Plex Sans"/>
        </w:rPr>
        <w:t>Lena Bleeke, Laura Throckmorton. Jessica Siebeneich, Peter Henkel, Susanne Zils</w:t>
      </w:r>
    </w:p>
    <w:p w14:paraId="2825818B" w14:textId="03705628" w:rsidR="00F554FC" w:rsidRDefault="00F554FC" w:rsidP="00F554FC">
      <w:pPr>
        <w:spacing w:after="0" w:line="276" w:lineRule="auto"/>
        <w:rPr>
          <w:rFonts w:ascii="IBM Plex Sans" w:hAnsi="IBM Plex Sans"/>
        </w:rPr>
      </w:pPr>
      <w:r>
        <w:rPr>
          <w:rFonts w:ascii="IBM Plex Sans" w:hAnsi="IBM Plex Sans"/>
        </w:rPr>
        <w:t>Foto 3: Peter Henkel, Lena Bleeke und Susanne Zils</w:t>
      </w:r>
      <w:r w:rsidR="009459A7">
        <w:rPr>
          <w:rFonts w:ascii="IBM Plex Sans" w:hAnsi="IBM Plex Sans"/>
        </w:rPr>
        <w:t xml:space="preserve"> im Roten Turm</w:t>
      </w:r>
    </w:p>
    <w:p w14:paraId="5EA90466" w14:textId="5BE1D67E" w:rsidR="00270F57" w:rsidRPr="00F554FC" w:rsidRDefault="009459A7" w:rsidP="00F554FC">
      <w:pPr>
        <w:spacing w:after="0" w:line="276" w:lineRule="auto"/>
        <w:rPr>
          <w:rFonts w:ascii="IBM Plex Sans" w:hAnsi="IBM Plex Sans"/>
        </w:rPr>
      </w:pPr>
      <w:r>
        <w:rPr>
          <w:rFonts w:ascii="IBM Plex Sans" w:hAnsi="IBM Plex Sans"/>
        </w:rPr>
        <w:t xml:space="preserve">Foto 4: Leena Bleeke und </w:t>
      </w:r>
      <w:r w:rsidR="00270F57">
        <w:rPr>
          <w:rFonts w:ascii="IBM Plex Sans" w:hAnsi="IBM Plex Sans"/>
        </w:rPr>
        <w:t xml:space="preserve">Jessica Siebeneich im Roten Turm </w:t>
      </w:r>
    </w:p>
    <w:p w14:paraId="54895B97" w14:textId="77777777" w:rsidR="00F554FC" w:rsidRPr="00F513E8" w:rsidRDefault="00F554FC" w:rsidP="00F554FC">
      <w:pPr>
        <w:spacing w:after="0" w:line="276" w:lineRule="auto"/>
        <w:rPr>
          <w:rFonts w:ascii="IBM Plex Sans" w:hAnsi="IBM Plex Sans"/>
        </w:rPr>
      </w:pPr>
    </w:p>
    <w:p w14:paraId="6CA2E14B" w14:textId="7CE139B7" w:rsidR="003946CF" w:rsidRPr="00F513E8" w:rsidRDefault="003946CF" w:rsidP="00E717CD">
      <w:pPr>
        <w:spacing w:after="0" w:line="276" w:lineRule="auto"/>
        <w:rPr>
          <w:rFonts w:ascii="IBM Plex Sans" w:hAnsi="IBM Plex Sans"/>
        </w:rPr>
      </w:pPr>
    </w:p>
    <w:sectPr w:rsidR="003946CF" w:rsidRPr="00F513E8" w:rsidSect="002935D9">
      <w:headerReference w:type="even" r:id="rId9"/>
      <w:headerReference w:type="default" r:id="rId10"/>
      <w:headerReference w:type="first" r:id="rId11"/>
      <w:footerReference w:type="first" r:id="rId12"/>
      <w:pgSz w:w="11906" w:h="16838" w:code="9"/>
      <w:pgMar w:top="2835" w:right="1701" w:bottom="1985" w:left="1134" w:header="851"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C4E8BE" w14:textId="77777777" w:rsidR="000D4C39" w:rsidRDefault="000D4C39" w:rsidP="000D4C39">
      <w:pPr>
        <w:spacing w:after="0" w:line="240" w:lineRule="auto"/>
      </w:pPr>
      <w:r>
        <w:separator/>
      </w:r>
    </w:p>
  </w:endnote>
  <w:endnote w:type="continuationSeparator" w:id="0">
    <w:p w14:paraId="1616FACA" w14:textId="77777777" w:rsidR="000D4C39" w:rsidRDefault="000D4C39" w:rsidP="000D4C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DIN">
    <w:altName w:val="Corbel"/>
    <w:charset w:val="00"/>
    <w:family w:val="auto"/>
    <w:pitch w:val="variable"/>
    <w:sig w:usb0="A00000A7" w:usb1="00000000" w:usb2="00000000" w:usb3="00000000" w:csb0="00000119"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IBM Plex Sans">
    <w:altName w:val="Arial"/>
    <w:charset w:val="00"/>
    <w:family w:val="swiss"/>
    <w:pitch w:val="variable"/>
    <w:sig w:usb0="A00002EF" w:usb1="5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263933" w14:textId="77777777" w:rsidR="002935D9" w:rsidRDefault="00724062">
    <w:pPr>
      <w:pStyle w:val="Fuzeile"/>
    </w:pPr>
    <w:r>
      <w:rPr>
        <w:noProof/>
        <w:lang w:eastAsia="de-DE"/>
      </w:rPr>
      <mc:AlternateContent>
        <mc:Choice Requires="wps">
          <w:drawing>
            <wp:anchor distT="0" distB="0" distL="114300" distR="114300" simplePos="0" relativeHeight="251665408" behindDoc="0" locked="0" layoutInCell="1" allowOverlap="1" wp14:anchorId="36181C24" wp14:editId="55FC6DCC">
              <wp:simplePos x="0" y="0"/>
              <wp:positionH relativeFrom="margin">
                <wp:posOffset>-81915</wp:posOffset>
              </wp:positionH>
              <wp:positionV relativeFrom="paragraph">
                <wp:posOffset>-1053465</wp:posOffset>
              </wp:positionV>
              <wp:extent cx="5765800" cy="1181100"/>
              <wp:effectExtent l="0" t="0" r="25400" b="19050"/>
              <wp:wrapThrough wrapText="bothSides">
                <wp:wrapPolygon edited="0">
                  <wp:start x="0" y="0"/>
                  <wp:lineTo x="0" y="21600"/>
                  <wp:lineTo x="21624" y="21600"/>
                  <wp:lineTo x="21624" y="0"/>
                  <wp:lineTo x="0" y="0"/>
                </wp:wrapPolygon>
              </wp:wrapThrough>
              <wp:docPr id="4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5800" cy="1181100"/>
                      </a:xfrm>
                      <a:prstGeom prst="rect">
                        <a:avLst/>
                      </a:prstGeom>
                      <a:solidFill>
                        <a:srgbClr val="FFFFFF"/>
                      </a:solidFill>
                      <a:ln w="9525">
                        <a:solidFill>
                          <a:schemeClr val="bg1"/>
                        </a:solidFill>
                        <a:miter lim="800000"/>
                        <a:headEnd/>
                        <a:tailEnd/>
                      </a:ln>
                    </wps:spPr>
                    <wps:txbx>
                      <w:txbxContent>
                        <w:p w14:paraId="500D0818" w14:textId="77777777" w:rsidR="00B9582E" w:rsidRDefault="00B9582E" w:rsidP="00724062">
                          <w:pPr>
                            <w:spacing w:after="0" w:line="276" w:lineRule="auto"/>
                            <w:rPr>
                              <w:rFonts w:ascii="IBM Plex Sans" w:hAnsi="IBM Plex Sans"/>
                              <w:color w:val="C00000"/>
                              <w:sz w:val="18"/>
                              <w:szCs w:val="18"/>
                            </w:rPr>
                          </w:pPr>
                        </w:p>
                        <w:p w14:paraId="1EFC6A85" w14:textId="77777777" w:rsidR="00724062" w:rsidRPr="00F513E8" w:rsidRDefault="00724062" w:rsidP="00724062">
                          <w:pPr>
                            <w:spacing w:after="0" w:line="276" w:lineRule="auto"/>
                            <w:rPr>
                              <w:rFonts w:ascii="IBM Plex Sans" w:hAnsi="IBM Plex Sans"/>
                              <w:color w:val="C00000"/>
                              <w:sz w:val="18"/>
                              <w:szCs w:val="18"/>
                              <w:u w:val="single"/>
                            </w:rPr>
                          </w:pPr>
                          <w:r w:rsidRPr="00F513E8">
                            <w:rPr>
                              <w:rFonts w:ascii="IBM Plex Sans" w:hAnsi="IBM Plex Sans"/>
                              <w:color w:val="C00000"/>
                              <w:sz w:val="18"/>
                              <w:szCs w:val="18"/>
                            </w:rPr>
                            <w:t>Sponsoren:</w:t>
                          </w:r>
                        </w:p>
                        <w:p w14:paraId="548F3613" w14:textId="77777777" w:rsidR="00724062" w:rsidRDefault="00724062" w:rsidP="00724062">
                          <w:r>
                            <w:t xml:space="preserve">                          </w:t>
                          </w:r>
                          <w:r w:rsidR="00B9582E" w:rsidRPr="00B9582E">
                            <w:rPr>
                              <w:noProof/>
                              <w:lang w:eastAsia="de-DE"/>
                            </w:rPr>
                            <w:drawing>
                              <wp:inline distT="0" distB="0" distL="0" distR="0" wp14:anchorId="79FCF809" wp14:editId="78C47A76">
                                <wp:extent cx="3467100" cy="93345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67100" cy="93345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181C24" id="_x0000_t202" coordsize="21600,21600" o:spt="202" path="m,l,21600r21600,l21600,xe">
              <v:stroke joinstyle="miter"/>
              <v:path gradientshapeok="t" o:connecttype="rect"/>
            </v:shapetype>
            <v:shape id="Textfeld 2" o:spid="_x0000_s1026" type="#_x0000_t202" style="position:absolute;margin-left:-6.45pt;margin-top:-82.95pt;width:454pt;height:93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kHKAIAAEUEAAAOAAAAZHJzL2Uyb0RvYy54bWysU81u2zAMvg/YOwi6L46DpD9GnKJLl2FA&#10;1w1o9wCyJMfCJFGTlNjZ04+S0zTtbsN0EEiR+kh+JJc3g9FkL31QYGtaTqaUSMtBKLut6Y+nzYcr&#10;SkJkVjANVtb0IAO9Wb1/t+xdJWfQgRbSEwSxoepdTbsYXVUUgXfSsDABJy0aW/CGRVT9thCe9Yhu&#10;dDGbTi+KHrxwHrgMAV/vRiNdZfy2lTx+a9sgI9E1xdxivn2+m3QXqyWrtp65TvFjGuwfsjBMWQx6&#10;grpjkZGdV39BGcU9BGjjhIMpoG0Vl7kGrKacvqnmsWNO5lqQnOBONIX/B8sf9t89UaKm8zkllhns&#10;0ZMcYiu1ILNET+9ChV6PDv3i8BEGbHMuNbh74D8DsbDumN3KW++h7yQTmF6ZfhZnX0eckECa/isI&#10;DMN2ETLQ0HqTuEM2CKJjmw6n1mAqhOPj4vJicTVFE0dbWV6VJSopBquevzsf4mcJhiShph57n+HZ&#10;/j7E0fXZJUULoJXYKK2z4rfNWnuyZzgnm3yO6K/ctCV9Ta8Xs8XIwCuINLLyBNJsRw7eBDIq4rxr&#10;ZWqK5eBJYViVaPtkRZYjU3qUsThtjzwm6kYS49AM6JjIbUAckFEP41zjHqLQgf9NSY8zXdPwa8e8&#10;pER/sdiV63I+T0uQlfnicoaKP7c05xZmOULVNFIyiuuYFyfla+EWu9eqzOtLJsdccVZzZ457lZbh&#10;XM9eL9u/+gMAAP//AwBQSwMEFAAGAAgAAAAhAH6ggjPgAAAACwEAAA8AAABkcnMvZG93bnJldi54&#10;bWxMj8FOg0AQhu8mvsNmTLy1C8SSgiyN0dibMaJpe1zYEYjsLGG3Lfr0Tk96+yfz5Z9vis1sB3HC&#10;yfeOFMTLCARS40xPrYKP9+fFGoQPmoweHKGCb/SwKa+vCp0bd6Y3PFWhFVxCPtcKuhDGXErfdGi1&#10;X7oRiXefbrI68Di10kz6zOV2kEkUpdLqnvhCp0d87LD5qo5WgW+idPd6V+32tdziT2bM02H7otTt&#10;zfxwDyLgHP5guOizOpTsVLsjGS8GBYs4yRi9hHTFiZF1topB1AqSKAZZFvL/D+UvAAAA//8DAFBL&#10;AQItABQABgAIAAAAIQC2gziS/gAAAOEBAAATAAAAAAAAAAAAAAAAAAAAAABbQ29udGVudF9UeXBl&#10;c10ueG1sUEsBAi0AFAAGAAgAAAAhADj9If/WAAAAlAEAAAsAAAAAAAAAAAAAAAAALwEAAF9yZWxz&#10;Ly5yZWxzUEsBAi0AFAAGAAgAAAAhAFH92QcoAgAARQQAAA4AAAAAAAAAAAAAAAAALgIAAGRycy9l&#10;Mm9Eb2MueG1sUEsBAi0AFAAGAAgAAAAhAH6ggjPgAAAACwEAAA8AAAAAAAAAAAAAAAAAggQAAGRy&#10;cy9kb3ducmV2LnhtbFBLBQYAAAAABAAEAPMAAACPBQAAAAA=&#10;" strokecolor="white [3212]">
              <v:textbox>
                <w:txbxContent>
                  <w:p w14:paraId="500D0818" w14:textId="77777777" w:rsidR="00B9582E" w:rsidRDefault="00B9582E" w:rsidP="00724062">
                    <w:pPr>
                      <w:spacing w:after="0" w:line="276" w:lineRule="auto"/>
                      <w:rPr>
                        <w:rFonts w:ascii="IBM Plex Sans" w:hAnsi="IBM Plex Sans"/>
                        <w:color w:val="C00000"/>
                        <w:sz w:val="18"/>
                        <w:szCs w:val="18"/>
                      </w:rPr>
                    </w:pPr>
                  </w:p>
                  <w:p w14:paraId="1EFC6A85" w14:textId="77777777" w:rsidR="00724062" w:rsidRPr="00F513E8" w:rsidRDefault="00724062" w:rsidP="00724062">
                    <w:pPr>
                      <w:spacing w:after="0" w:line="276" w:lineRule="auto"/>
                      <w:rPr>
                        <w:rFonts w:ascii="IBM Plex Sans" w:hAnsi="IBM Plex Sans"/>
                        <w:color w:val="C00000"/>
                        <w:sz w:val="18"/>
                        <w:szCs w:val="18"/>
                        <w:u w:val="single"/>
                      </w:rPr>
                    </w:pPr>
                    <w:r w:rsidRPr="00F513E8">
                      <w:rPr>
                        <w:rFonts w:ascii="IBM Plex Sans" w:hAnsi="IBM Plex Sans"/>
                        <w:color w:val="C00000"/>
                        <w:sz w:val="18"/>
                        <w:szCs w:val="18"/>
                      </w:rPr>
                      <w:t>Sponsoren:</w:t>
                    </w:r>
                  </w:p>
                  <w:p w14:paraId="548F3613" w14:textId="77777777" w:rsidR="00724062" w:rsidRDefault="00724062" w:rsidP="00724062">
                    <w:r>
                      <w:t xml:space="preserve">                          </w:t>
                    </w:r>
                    <w:r w:rsidR="00B9582E" w:rsidRPr="00B9582E">
                      <w:rPr>
                        <w:noProof/>
                        <w:lang w:eastAsia="de-DE"/>
                      </w:rPr>
                      <w:drawing>
                        <wp:inline distT="0" distB="0" distL="0" distR="0" wp14:anchorId="79FCF809" wp14:editId="78C47A76">
                          <wp:extent cx="3467100" cy="93345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67100" cy="933450"/>
                                  </a:xfrm>
                                  <a:prstGeom prst="rect">
                                    <a:avLst/>
                                  </a:prstGeom>
                                  <a:noFill/>
                                  <a:ln>
                                    <a:noFill/>
                                  </a:ln>
                                </pic:spPr>
                              </pic:pic>
                            </a:graphicData>
                          </a:graphic>
                        </wp:inline>
                      </w:drawing>
                    </w:r>
                  </w:p>
                </w:txbxContent>
              </v:textbox>
              <w10:wrap type="through"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E86B7F" w14:textId="77777777" w:rsidR="000D4C39" w:rsidRDefault="000D4C39" w:rsidP="000D4C39">
      <w:pPr>
        <w:spacing w:after="0" w:line="240" w:lineRule="auto"/>
      </w:pPr>
      <w:r>
        <w:separator/>
      </w:r>
    </w:p>
  </w:footnote>
  <w:footnote w:type="continuationSeparator" w:id="0">
    <w:p w14:paraId="3B74A1D7" w14:textId="77777777" w:rsidR="000D4C39" w:rsidRDefault="000D4C39" w:rsidP="000D4C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BCC2FD" w14:textId="77777777" w:rsidR="002935D9" w:rsidRDefault="005C3747">
    <w:pPr>
      <w:pStyle w:val="Kopfzeile"/>
    </w:pPr>
    <w:r>
      <w:rPr>
        <w:noProof/>
        <w:lang w:eastAsia="de-DE"/>
      </w:rPr>
      <w:pict w14:anchorId="79BDC1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550754" o:spid="_x0000_s14408" type="#_x0000_t75" style="position:absolute;margin-left:0;margin-top:0;width:595.45pt;height:841.9pt;z-index:-251643904;mso-position-horizontal:center;mso-position-horizontal-relative:margin;mso-position-vertical:center;mso-position-vertical-relative:margin" o:allowincell="f">
          <v:imagedata r:id="rId1" o:title="Entwurf_PM_Seite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B67190" w14:textId="77777777" w:rsidR="002935D9" w:rsidRDefault="005C3747">
    <w:pPr>
      <w:pStyle w:val="Kopfzeile"/>
    </w:pPr>
    <w:r>
      <w:rPr>
        <w:noProof/>
        <w:lang w:eastAsia="de-DE"/>
      </w:rPr>
      <w:pict w14:anchorId="7FC796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550755" o:spid="_x0000_s14409" type="#_x0000_t75" style="position:absolute;margin-left:0;margin-top:0;width:595.45pt;height:841.9pt;z-index:-251642880;mso-position-horizontal:center;mso-position-horizontal-relative:margin;mso-position-vertical:center;mso-position-vertical-relative:margin" o:allowincell="f">
          <v:imagedata r:id="rId1" o:title="Entwurf_PM_Seite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3A6360" w14:textId="77777777" w:rsidR="00724062" w:rsidRDefault="00565A7A">
    <w:pPr>
      <w:pStyle w:val="Kopfzeile"/>
    </w:pPr>
    <w:r>
      <w:rPr>
        <w:noProof/>
        <w:lang w:eastAsia="de-DE"/>
      </w:rPr>
      <w:drawing>
        <wp:anchor distT="0" distB="0" distL="114300" distR="114300" simplePos="0" relativeHeight="251675648" behindDoc="0" locked="0" layoutInCell="1" allowOverlap="1" wp14:anchorId="26F0D711" wp14:editId="0077819E">
          <wp:simplePos x="0" y="0"/>
          <wp:positionH relativeFrom="column">
            <wp:posOffset>4375785</wp:posOffset>
          </wp:positionH>
          <wp:positionV relativeFrom="paragraph">
            <wp:posOffset>478790</wp:posOffset>
          </wp:positionV>
          <wp:extent cx="2266950" cy="78105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781050"/>
                  </a:xfrm>
                  <a:prstGeom prst="rect">
                    <a:avLst/>
                  </a:prstGeom>
                  <a:noFill/>
                </pic:spPr>
              </pic:pic>
            </a:graphicData>
          </a:graphic>
        </wp:anchor>
      </w:drawing>
    </w:r>
    <w:r w:rsidR="005C3747">
      <w:rPr>
        <w:noProof/>
        <w:lang w:eastAsia="de-DE"/>
      </w:rPr>
      <w:pict w14:anchorId="03B447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550753" o:spid="_x0000_s14407" type="#_x0000_t75" style="position:absolute;margin-left:-57.45pt;margin-top:-141.7pt;width:595.45pt;height:841.9pt;z-index:-251644928;mso-position-horizontal-relative:margin;mso-position-vertical-relative:margin" o:allowincell="f">
          <v:imagedata r:id="rId2" o:title="Entwurf_PM_Seite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9"/>
  <w:hyphenationZone w:val="425"/>
  <w:evenAndOddHeaders/>
  <w:characterSpacingControl w:val="doNotCompress"/>
  <w:hdrShapeDefaults>
    <o:shapedefaults v:ext="edit" spidmax="14410"/>
    <o:shapelayout v:ext="edit">
      <o:idmap v:ext="edit" data="1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104"/>
    <w:rsid w:val="000155B6"/>
    <w:rsid w:val="00017549"/>
    <w:rsid w:val="00042625"/>
    <w:rsid w:val="0004494A"/>
    <w:rsid w:val="00045C06"/>
    <w:rsid w:val="000527EB"/>
    <w:rsid w:val="00057B92"/>
    <w:rsid w:val="00061C12"/>
    <w:rsid w:val="00075486"/>
    <w:rsid w:val="000D4C39"/>
    <w:rsid w:val="000D5907"/>
    <w:rsid w:val="000D5F4B"/>
    <w:rsid w:val="000F671F"/>
    <w:rsid w:val="001131B6"/>
    <w:rsid w:val="00142961"/>
    <w:rsid w:val="00162544"/>
    <w:rsid w:val="00163FFD"/>
    <w:rsid w:val="00164F73"/>
    <w:rsid w:val="00166ECD"/>
    <w:rsid w:val="001A4522"/>
    <w:rsid w:val="001D3BE4"/>
    <w:rsid w:val="0020432A"/>
    <w:rsid w:val="0022661E"/>
    <w:rsid w:val="002407F3"/>
    <w:rsid w:val="00270F57"/>
    <w:rsid w:val="0027162D"/>
    <w:rsid w:val="00281FF8"/>
    <w:rsid w:val="00283A83"/>
    <w:rsid w:val="002935D9"/>
    <w:rsid w:val="002A6AD1"/>
    <w:rsid w:val="002B7D71"/>
    <w:rsid w:val="002C05FF"/>
    <w:rsid w:val="002C0AED"/>
    <w:rsid w:val="002C4906"/>
    <w:rsid w:val="002C52B0"/>
    <w:rsid w:val="002F0AF3"/>
    <w:rsid w:val="002F22DC"/>
    <w:rsid w:val="00342B9C"/>
    <w:rsid w:val="00375D4A"/>
    <w:rsid w:val="003946CF"/>
    <w:rsid w:val="00396D8D"/>
    <w:rsid w:val="003C25D4"/>
    <w:rsid w:val="003E1046"/>
    <w:rsid w:val="003E113D"/>
    <w:rsid w:val="003E27BD"/>
    <w:rsid w:val="003E5C3E"/>
    <w:rsid w:val="003F16DA"/>
    <w:rsid w:val="003F6DDC"/>
    <w:rsid w:val="00416F3C"/>
    <w:rsid w:val="004265A4"/>
    <w:rsid w:val="00427DE0"/>
    <w:rsid w:val="00437E24"/>
    <w:rsid w:val="00440AAC"/>
    <w:rsid w:val="00442352"/>
    <w:rsid w:val="004820D1"/>
    <w:rsid w:val="004834BB"/>
    <w:rsid w:val="004922AD"/>
    <w:rsid w:val="004943C3"/>
    <w:rsid w:val="004A0FB3"/>
    <w:rsid w:val="004C003A"/>
    <w:rsid w:val="004E76E0"/>
    <w:rsid w:val="005065F9"/>
    <w:rsid w:val="00530D21"/>
    <w:rsid w:val="00533874"/>
    <w:rsid w:val="00555045"/>
    <w:rsid w:val="0055561D"/>
    <w:rsid w:val="00565A7A"/>
    <w:rsid w:val="00566676"/>
    <w:rsid w:val="005B0848"/>
    <w:rsid w:val="005B470E"/>
    <w:rsid w:val="005C3747"/>
    <w:rsid w:val="005C39D9"/>
    <w:rsid w:val="005E0F87"/>
    <w:rsid w:val="005E268C"/>
    <w:rsid w:val="00616B66"/>
    <w:rsid w:val="00623E67"/>
    <w:rsid w:val="00624DD4"/>
    <w:rsid w:val="00673A59"/>
    <w:rsid w:val="006757FC"/>
    <w:rsid w:val="006862A4"/>
    <w:rsid w:val="00690B8C"/>
    <w:rsid w:val="006B639A"/>
    <w:rsid w:val="006C1F85"/>
    <w:rsid w:val="006E1295"/>
    <w:rsid w:val="006F0C94"/>
    <w:rsid w:val="006F5B2F"/>
    <w:rsid w:val="00724062"/>
    <w:rsid w:val="00760CE8"/>
    <w:rsid w:val="007711B8"/>
    <w:rsid w:val="007741A9"/>
    <w:rsid w:val="007D46FF"/>
    <w:rsid w:val="007E2F23"/>
    <w:rsid w:val="00804120"/>
    <w:rsid w:val="00817764"/>
    <w:rsid w:val="00837B2E"/>
    <w:rsid w:val="00865FCE"/>
    <w:rsid w:val="008850F1"/>
    <w:rsid w:val="00886925"/>
    <w:rsid w:val="008A33D9"/>
    <w:rsid w:val="008B0211"/>
    <w:rsid w:val="008B14BE"/>
    <w:rsid w:val="008C6D04"/>
    <w:rsid w:val="008E6856"/>
    <w:rsid w:val="008F3A8E"/>
    <w:rsid w:val="00905703"/>
    <w:rsid w:val="009115DA"/>
    <w:rsid w:val="00917411"/>
    <w:rsid w:val="009351E2"/>
    <w:rsid w:val="009459A7"/>
    <w:rsid w:val="00946F23"/>
    <w:rsid w:val="00973387"/>
    <w:rsid w:val="00974168"/>
    <w:rsid w:val="00991F1D"/>
    <w:rsid w:val="009C47D7"/>
    <w:rsid w:val="009D1CD0"/>
    <w:rsid w:val="009D395A"/>
    <w:rsid w:val="00A06262"/>
    <w:rsid w:val="00A42017"/>
    <w:rsid w:val="00A446F2"/>
    <w:rsid w:val="00A54104"/>
    <w:rsid w:val="00A62C2A"/>
    <w:rsid w:val="00A71395"/>
    <w:rsid w:val="00A7632F"/>
    <w:rsid w:val="00A93DAC"/>
    <w:rsid w:val="00AB6C99"/>
    <w:rsid w:val="00AD311A"/>
    <w:rsid w:val="00B03D2C"/>
    <w:rsid w:val="00B130FA"/>
    <w:rsid w:val="00B300CD"/>
    <w:rsid w:val="00B347FB"/>
    <w:rsid w:val="00B436A2"/>
    <w:rsid w:val="00B6248A"/>
    <w:rsid w:val="00B710A8"/>
    <w:rsid w:val="00B8691D"/>
    <w:rsid w:val="00B9426A"/>
    <w:rsid w:val="00B9582E"/>
    <w:rsid w:val="00B97382"/>
    <w:rsid w:val="00BA401B"/>
    <w:rsid w:val="00BB2E89"/>
    <w:rsid w:val="00BC436B"/>
    <w:rsid w:val="00BC58A9"/>
    <w:rsid w:val="00BD14E1"/>
    <w:rsid w:val="00BE1413"/>
    <w:rsid w:val="00C22E30"/>
    <w:rsid w:val="00C2701F"/>
    <w:rsid w:val="00C276D7"/>
    <w:rsid w:val="00C31762"/>
    <w:rsid w:val="00C344DD"/>
    <w:rsid w:val="00C452CD"/>
    <w:rsid w:val="00C630F9"/>
    <w:rsid w:val="00C97087"/>
    <w:rsid w:val="00C97DF6"/>
    <w:rsid w:val="00CB0E6A"/>
    <w:rsid w:val="00CB707A"/>
    <w:rsid w:val="00CE137B"/>
    <w:rsid w:val="00CE3B58"/>
    <w:rsid w:val="00D14F62"/>
    <w:rsid w:val="00D204FB"/>
    <w:rsid w:val="00D20B31"/>
    <w:rsid w:val="00D51FD2"/>
    <w:rsid w:val="00DB07F0"/>
    <w:rsid w:val="00DD43BE"/>
    <w:rsid w:val="00E00CCC"/>
    <w:rsid w:val="00E04824"/>
    <w:rsid w:val="00E25EE4"/>
    <w:rsid w:val="00E338F2"/>
    <w:rsid w:val="00E449CC"/>
    <w:rsid w:val="00E53473"/>
    <w:rsid w:val="00E717CD"/>
    <w:rsid w:val="00E94CE4"/>
    <w:rsid w:val="00EB06AF"/>
    <w:rsid w:val="00EB343D"/>
    <w:rsid w:val="00EB53E2"/>
    <w:rsid w:val="00EC4184"/>
    <w:rsid w:val="00EC6D20"/>
    <w:rsid w:val="00F006A4"/>
    <w:rsid w:val="00F03F85"/>
    <w:rsid w:val="00F211F6"/>
    <w:rsid w:val="00F513E8"/>
    <w:rsid w:val="00F554FC"/>
    <w:rsid w:val="00F61080"/>
    <w:rsid w:val="00F65588"/>
    <w:rsid w:val="00F763C6"/>
    <w:rsid w:val="00FA04E0"/>
    <w:rsid w:val="00FA081E"/>
    <w:rsid w:val="00FC3CBF"/>
    <w:rsid w:val="00FC6115"/>
    <w:rsid w:val="00FE1D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410"/>
    <o:shapelayout v:ext="edit">
      <o:idmap v:ext="edit" data="1"/>
    </o:shapelayout>
  </w:shapeDefaults>
  <w:decimalSymbol w:val=","/>
  <w:listSeparator w:val=";"/>
  <w14:docId w14:val="73D299DF"/>
  <w15:chartTrackingRefBased/>
  <w15:docId w15:val="{EEF48402-B327-4F9F-ABBE-9A04BF491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16F3C"/>
  </w:style>
  <w:style w:type="paragraph" w:styleId="berschrift1">
    <w:name w:val="heading 1"/>
    <w:aliases w:val="Zusammenfassung"/>
    <w:basedOn w:val="Standard"/>
    <w:next w:val="Standard"/>
    <w:link w:val="berschrift1Zchn"/>
    <w:uiPriority w:val="9"/>
    <w:qFormat/>
    <w:rsid w:val="000D4C39"/>
    <w:pPr>
      <w:spacing w:after="0" w:line="360" w:lineRule="auto"/>
      <w:outlineLvl w:val="0"/>
    </w:pPr>
    <w:rPr>
      <w:rFonts w:ascii="DIN" w:hAnsi="DIN" w:cstheme="minorHAnsi"/>
      <w:i/>
      <w:color w:val="000000" w:themeColor="text1"/>
      <w:sz w:val="24"/>
      <w:szCs w:val="24"/>
    </w:rPr>
  </w:style>
  <w:style w:type="paragraph" w:styleId="berschrift2">
    <w:name w:val="heading 2"/>
    <w:basedOn w:val="Standard"/>
    <w:next w:val="Standard"/>
    <w:link w:val="berschrift2Zchn"/>
    <w:uiPriority w:val="9"/>
    <w:semiHidden/>
    <w:unhideWhenUsed/>
    <w:qFormat/>
    <w:rsid w:val="0044235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0D4C3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D4C39"/>
  </w:style>
  <w:style w:type="paragraph" w:styleId="Fuzeile">
    <w:name w:val="footer"/>
    <w:basedOn w:val="Standard"/>
    <w:link w:val="FuzeileZchn"/>
    <w:uiPriority w:val="99"/>
    <w:unhideWhenUsed/>
    <w:rsid w:val="000D4C3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D4C39"/>
  </w:style>
  <w:style w:type="character" w:customStyle="1" w:styleId="berschrift1Zchn">
    <w:name w:val="Überschrift 1 Zchn"/>
    <w:aliases w:val="Zusammenfassung Zchn"/>
    <w:basedOn w:val="Absatz-Standardschriftart"/>
    <w:link w:val="berschrift1"/>
    <w:uiPriority w:val="9"/>
    <w:rsid w:val="000D4C39"/>
    <w:rPr>
      <w:rFonts w:ascii="DIN" w:hAnsi="DIN" w:cstheme="minorHAnsi"/>
      <w:i/>
      <w:color w:val="000000" w:themeColor="text1"/>
      <w:sz w:val="24"/>
      <w:szCs w:val="24"/>
    </w:rPr>
  </w:style>
  <w:style w:type="paragraph" w:styleId="KeinLeerraum">
    <w:name w:val="No Spacing"/>
    <w:aliases w:val="Überschrift fett"/>
    <w:basedOn w:val="StandardWeb"/>
    <w:uiPriority w:val="1"/>
    <w:qFormat/>
    <w:rsid w:val="000D4C39"/>
    <w:pPr>
      <w:spacing w:before="100" w:beforeAutospacing="1" w:after="0" w:line="240" w:lineRule="auto"/>
    </w:pPr>
    <w:rPr>
      <w:rFonts w:ascii="DIN" w:eastAsia="Times New Roman" w:hAnsi="DIN" w:cstheme="minorHAnsi"/>
      <w:b/>
      <w:color w:val="000000" w:themeColor="text1"/>
      <w:sz w:val="26"/>
      <w:szCs w:val="26"/>
      <w:lang w:val="nl-NL" w:eastAsia="nl-NL"/>
    </w:rPr>
  </w:style>
  <w:style w:type="paragraph" w:styleId="Titel">
    <w:name w:val="Title"/>
    <w:aliases w:val="Infos"/>
    <w:basedOn w:val="Standard"/>
    <w:next w:val="Standard"/>
    <w:link w:val="TitelZchn"/>
    <w:uiPriority w:val="10"/>
    <w:qFormat/>
    <w:rsid w:val="000D4C39"/>
    <w:pPr>
      <w:spacing w:after="0" w:line="240" w:lineRule="auto"/>
    </w:pPr>
    <w:rPr>
      <w:rFonts w:ascii="DIN" w:hAnsi="DIN" w:cstheme="minorHAnsi"/>
      <w:color w:val="000000" w:themeColor="text1"/>
    </w:rPr>
  </w:style>
  <w:style w:type="character" w:customStyle="1" w:styleId="TitelZchn">
    <w:name w:val="Titel Zchn"/>
    <w:aliases w:val="Infos Zchn"/>
    <w:basedOn w:val="Absatz-Standardschriftart"/>
    <w:link w:val="Titel"/>
    <w:uiPriority w:val="10"/>
    <w:rsid w:val="000D4C39"/>
    <w:rPr>
      <w:rFonts w:ascii="DIN" w:hAnsi="DIN" w:cstheme="minorHAnsi"/>
      <w:color w:val="000000" w:themeColor="text1"/>
    </w:rPr>
  </w:style>
  <w:style w:type="paragraph" w:styleId="StandardWeb">
    <w:name w:val="Normal (Web)"/>
    <w:basedOn w:val="Standard"/>
    <w:uiPriority w:val="99"/>
    <w:semiHidden/>
    <w:unhideWhenUsed/>
    <w:rsid w:val="000D4C39"/>
    <w:rPr>
      <w:rFonts w:ascii="Times New Roman" w:hAnsi="Times New Roman" w:cs="Times New Roman"/>
      <w:sz w:val="24"/>
      <w:szCs w:val="24"/>
    </w:rPr>
  </w:style>
  <w:style w:type="paragraph" w:customStyle="1" w:styleId="Default">
    <w:name w:val="Default"/>
    <w:rsid w:val="00973387"/>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Absatz-Standardschriftart"/>
    <w:uiPriority w:val="99"/>
    <w:unhideWhenUsed/>
    <w:rsid w:val="00817764"/>
    <w:rPr>
      <w:color w:val="0563C1" w:themeColor="hyperlink"/>
      <w:u w:val="single"/>
    </w:rPr>
  </w:style>
  <w:style w:type="paragraph" w:styleId="Sprechblasentext">
    <w:name w:val="Balloon Text"/>
    <w:basedOn w:val="Standard"/>
    <w:link w:val="SprechblasentextZchn"/>
    <w:uiPriority w:val="99"/>
    <w:semiHidden/>
    <w:unhideWhenUsed/>
    <w:rsid w:val="00B03D2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03D2C"/>
    <w:rPr>
      <w:rFonts w:ascii="Segoe UI" w:hAnsi="Segoe UI" w:cs="Segoe UI"/>
      <w:sz w:val="18"/>
      <w:szCs w:val="18"/>
    </w:rPr>
  </w:style>
  <w:style w:type="character" w:customStyle="1" w:styleId="berschrift2Zchn">
    <w:name w:val="Überschrift 2 Zchn"/>
    <w:basedOn w:val="Absatz-Standardschriftart"/>
    <w:link w:val="berschrift2"/>
    <w:uiPriority w:val="9"/>
    <w:semiHidden/>
    <w:rsid w:val="00442352"/>
    <w:rPr>
      <w:rFonts w:asciiTheme="majorHAnsi" w:eastAsiaTheme="majorEastAsia" w:hAnsiTheme="majorHAnsi" w:cstheme="majorBidi"/>
      <w:color w:val="2E74B5" w:themeColor="accent1" w:themeShade="BF"/>
      <w:sz w:val="26"/>
      <w:szCs w:val="26"/>
    </w:rPr>
  </w:style>
  <w:style w:type="character" w:styleId="Kommentarzeichen">
    <w:name w:val="annotation reference"/>
    <w:basedOn w:val="Absatz-Standardschriftart"/>
    <w:uiPriority w:val="99"/>
    <w:semiHidden/>
    <w:unhideWhenUsed/>
    <w:rsid w:val="008850F1"/>
    <w:rPr>
      <w:sz w:val="16"/>
      <w:szCs w:val="16"/>
    </w:rPr>
  </w:style>
  <w:style w:type="paragraph" w:styleId="Kommentartext">
    <w:name w:val="annotation text"/>
    <w:basedOn w:val="Standard"/>
    <w:link w:val="KommentartextZchn"/>
    <w:uiPriority w:val="99"/>
    <w:semiHidden/>
    <w:unhideWhenUsed/>
    <w:rsid w:val="008850F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850F1"/>
    <w:rPr>
      <w:sz w:val="20"/>
      <w:szCs w:val="20"/>
    </w:rPr>
  </w:style>
  <w:style w:type="paragraph" w:styleId="Kommentarthema">
    <w:name w:val="annotation subject"/>
    <w:basedOn w:val="Kommentartext"/>
    <w:next w:val="Kommentartext"/>
    <w:link w:val="KommentarthemaZchn"/>
    <w:uiPriority w:val="99"/>
    <w:semiHidden/>
    <w:unhideWhenUsed/>
    <w:rsid w:val="008850F1"/>
    <w:rPr>
      <w:b/>
      <w:bCs/>
    </w:rPr>
  </w:style>
  <w:style w:type="character" w:customStyle="1" w:styleId="KommentarthemaZchn">
    <w:name w:val="Kommentarthema Zchn"/>
    <w:basedOn w:val="KommentartextZchn"/>
    <w:link w:val="Kommentarthema"/>
    <w:uiPriority w:val="99"/>
    <w:semiHidden/>
    <w:rsid w:val="008850F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546126">
      <w:bodyDiv w:val="1"/>
      <w:marLeft w:val="0"/>
      <w:marRight w:val="0"/>
      <w:marTop w:val="0"/>
      <w:marBottom w:val="0"/>
      <w:divBdr>
        <w:top w:val="none" w:sz="0" w:space="0" w:color="auto"/>
        <w:left w:val="none" w:sz="0" w:space="0" w:color="auto"/>
        <w:bottom w:val="none" w:sz="0" w:space="0" w:color="auto"/>
        <w:right w:val="none" w:sz="0" w:space="0" w:color="auto"/>
      </w:divBdr>
    </w:div>
    <w:div w:id="339967258">
      <w:bodyDiv w:val="1"/>
      <w:marLeft w:val="0"/>
      <w:marRight w:val="0"/>
      <w:marTop w:val="0"/>
      <w:marBottom w:val="0"/>
      <w:divBdr>
        <w:top w:val="none" w:sz="0" w:space="0" w:color="auto"/>
        <w:left w:val="none" w:sz="0" w:space="0" w:color="auto"/>
        <w:bottom w:val="none" w:sz="0" w:space="0" w:color="auto"/>
        <w:right w:val="none" w:sz="0" w:space="0" w:color="auto"/>
      </w:divBdr>
    </w:div>
    <w:div w:id="635255810">
      <w:bodyDiv w:val="1"/>
      <w:marLeft w:val="0"/>
      <w:marRight w:val="0"/>
      <w:marTop w:val="0"/>
      <w:marBottom w:val="0"/>
      <w:divBdr>
        <w:top w:val="none" w:sz="0" w:space="0" w:color="auto"/>
        <w:left w:val="none" w:sz="0" w:space="0" w:color="auto"/>
        <w:bottom w:val="none" w:sz="0" w:space="0" w:color="auto"/>
        <w:right w:val="none" w:sz="0" w:space="0" w:color="auto"/>
      </w:divBdr>
    </w:div>
    <w:div w:id="682129122">
      <w:bodyDiv w:val="1"/>
      <w:marLeft w:val="0"/>
      <w:marRight w:val="0"/>
      <w:marTop w:val="0"/>
      <w:marBottom w:val="0"/>
      <w:divBdr>
        <w:top w:val="none" w:sz="0" w:space="0" w:color="auto"/>
        <w:left w:val="none" w:sz="0" w:space="0" w:color="auto"/>
        <w:bottom w:val="none" w:sz="0" w:space="0" w:color="auto"/>
        <w:right w:val="none" w:sz="0" w:space="0" w:color="auto"/>
      </w:divBdr>
    </w:div>
    <w:div w:id="1565801460">
      <w:bodyDiv w:val="1"/>
      <w:marLeft w:val="0"/>
      <w:marRight w:val="0"/>
      <w:marTop w:val="0"/>
      <w:marBottom w:val="0"/>
      <w:divBdr>
        <w:top w:val="none" w:sz="0" w:space="0" w:color="auto"/>
        <w:left w:val="none" w:sz="0" w:space="0" w:color="auto"/>
        <w:bottom w:val="none" w:sz="0" w:space="0" w:color="auto"/>
        <w:right w:val="none" w:sz="0" w:space="0" w:color="auto"/>
      </w:divBdr>
    </w:div>
    <w:div w:id="1726293319">
      <w:bodyDiv w:val="1"/>
      <w:marLeft w:val="0"/>
      <w:marRight w:val="0"/>
      <w:marTop w:val="0"/>
      <w:marBottom w:val="0"/>
      <w:divBdr>
        <w:top w:val="none" w:sz="0" w:space="0" w:color="auto"/>
        <w:left w:val="none" w:sz="0" w:space="0" w:color="auto"/>
        <w:bottom w:val="none" w:sz="0" w:space="0" w:color="auto"/>
        <w:right w:val="none" w:sz="0" w:space="0" w:color="auto"/>
      </w:divBdr>
    </w:div>
    <w:div w:id="1922137334">
      <w:bodyDiv w:val="1"/>
      <w:marLeft w:val="0"/>
      <w:marRight w:val="0"/>
      <w:marTop w:val="0"/>
      <w:marBottom w:val="0"/>
      <w:divBdr>
        <w:top w:val="none" w:sz="0" w:space="0" w:color="auto"/>
        <w:left w:val="none" w:sz="0" w:space="0" w:color="auto"/>
        <w:bottom w:val="none" w:sz="0" w:space="0" w:color="auto"/>
        <w:right w:val="none" w:sz="0" w:space="0" w:color="auto"/>
      </w:divBdr>
    </w:div>
    <w:div w:id="199776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istorisches-museum.org/die-neue-dauerausstellung/pressekonferenz"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wmf"/></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C84DFC-CDE3-466E-8E7E-01A6A7177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575</Words>
  <Characters>3628</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Selina Wagner</dc:creator>
  <cp:keywords/>
  <dc:description/>
  <cp:lastModifiedBy>Christine Gerstner</cp:lastModifiedBy>
  <cp:revision>24</cp:revision>
  <cp:lastPrinted>2025-12-08T13:53:00Z</cp:lastPrinted>
  <dcterms:created xsi:type="dcterms:W3CDTF">2025-12-08T11:14:00Z</dcterms:created>
  <dcterms:modified xsi:type="dcterms:W3CDTF">2025-12-08T14:14:00Z</dcterms:modified>
</cp:coreProperties>
</file>